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209EC" w:rsidP="005209EC" w:rsidRDefault="005209EC" w14:paraId="bc3b655" w14:textId="bc3b655">
      <w:pPr>
        <w:jc w:val="center"/>
        <w15:collapsed w:val="false"/>
        <w:rPr>
          <w:rFonts w:ascii="Times New Roman" w:hAnsi="Times New Roman"/>
          <w:b/>
          <w:sz w:val="28"/>
        </w:rPr>
      </w:pPr>
      <w:bookmarkStart w:name="_GoBack" w:id="0"/>
      <w:bookmarkEnd w:id="0"/>
      <w:r>
        <w:rPr>
          <w:rFonts w:ascii="Times New Roman" w:hAnsi="Times New Roman"/>
          <w:b/>
          <w:sz w:val="28"/>
        </w:rPr>
        <w:t xml:space="preserve">Obrazac </w:t>
      </w:r>
      <w:r w:rsidR="00BF7442">
        <w:rPr>
          <w:rFonts w:ascii="Times New Roman" w:hAnsi="Times New Roman"/>
          <w:b/>
          <w:sz w:val="28"/>
        </w:rPr>
        <w:t>19</w:t>
      </w:r>
      <w:r>
        <w:rPr>
          <w:rFonts w:ascii="Times New Roman" w:hAnsi="Times New Roman"/>
          <w:b/>
          <w:sz w:val="28"/>
        </w:rPr>
        <w:t>.</w:t>
      </w:r>
    </w:p>
    <w:p w:rsidR="005209EC" w:rsidP="005209EC" w:rsidRDefault="005209EC">
      <w:pPr>
        <w:jc w:val="center"/>
        <w:rPr>
          <w:rFonts w:ascii="Times New Roman" w:hAnsi="Times New Roman"/>
          <w:b/>
          <w:sz w:val="24"/>
        </w:rPr>
      </w:pPr>
    </w:p>
    <w:p w:rsidR="005209EC" w:rsidP="005209EC" w:rsidRDefault="005209EC">
      <w:pPr>
        <w:jc w:val="both"/>
        <w:rPr>
          <w:rFonts w:ascii="Times New Roman" w:hAnsi="Times New Roman"/>
          <w:b/>
          <w:sz w:val="24"/>
        </w:rPr>
      </w:pPr>
      <w:r>
        <w:rPr>
          <w:rFonts w:ascii="Times New Roman" w:hAnsi="Times New Roman"/>
          <w:b/>
          <w:sz w:val="24"/>
        </w:rPr>
        <w:t xml:space="preserve">IZVJEŠĆE </w:t>
      </w:r>
      <w:r>
        <w:rPr>
          <w:rFonts w:ascii="Times New Roman" w:hAnsi="Times New Roman"/>
          <w:b/>
          <w:sz w:val="24"/>
          <w:szCs w:val="24"/>
        </w:rPr>
        <w:t>STEČAJNOGA</w:t>
      </w:r>
      <w:r>
        <w:rPr>
          <w:rFonts w:ascii="Times New Roman" w:hAnsi="Times New Roman"/>
          <w:b/>
          <w:sz w:val="24"/>
        </w:rPr>
        <w:t xml:space="preserve"> UPRAVITELJA O STANJU STEČAJNE MASE U RAZDOBLJU OD 06.0</w:t>
      </w:r>
      <w:r w:rsidR="00BF7442">
        <w:rPr>
          <w:rFonts w:ascii="Times New Roman" w:hAnsi="Times New Roman"/>
          <w:b/>
          <w:sz w:val="24"/>
        </w:rPr>
        <w:t>8</w:t>
      </w:r>
      <w:r>
        <w:rPr>
          <w:rFonts w:ascii="Times New Roman" w:hAnsi="Times New Roman"/>
          <w:b/>
          <w:sz w:val="24"/>
        </w:rPr>
        <w:t xml:space="preserve">.2019. god. </w:t>
      </w:r>
      <w:r w:rsidR="00BF7442">
        <w:rPr>
          <w:rFonts w:ascii="Times New Roman" w:hAnsi="Times New Roman"/>
          <w:b/>
          <w:sz w:val="24"/>
        </w:rPr>
        <w:t>do</w:t>
      </w:r>
      <w:r>
        <w:rPr>
          <w:rFonts w:ascii="Times New Roman" w:hAnsi="Times New Roman"/>
          <w:b/>
          <w:sz w:val="24"/>
        </w:rPr>
        <w:t xml:space="preserve"> 0</w:t>
      </w:r>
      <w:r w:rsidR="00BF7442">
        <w:rPr>
          <w:rFonts w:ascii="Times New Roman" w:hAnsi="Times New Roman"/>
          <w:b/>
          <w:sz w:val="24"/>
        </w:rPr>
        <w:t>5</w:t>
      </w:r>
      <w:r>
        <w:rPr>
          <w:rFonts w:ascii="Times New Roman" w:hAnsi="Times New Roman"/>
          <w:b/>
          <w:sz w:val="24"/>
        </w:rPr>
        <w:t>.</w:t>
      </w:r>
      <w:r w:rsidR="00BF7442">
        <w:rPr>
          <w:rFonts w:ascii="Times New Roman" w:hAnsi="Times New Roman"/>
          <w:b/>
          <w:sz w:val="24"/>
        </w:rPr>
        <w:t>11</w:t>
      </w:r>
      <w:r>
        <w:rPr>
          <w:rFonts w:ascii="Times New Roman" w:hAnsi="Times New Roman"/>
          <w:b/>
          <w:sz w:val="24"/>
        </w:rPr>
        <w:t>.2019. god.</w:t>
      </w:r>
    </w:p>
    <w:p w:rsidR="005209EC" w:rsidP="005209EC" w:rsidRDefault="005209EC">
      <w:pPr>
        <w:jc w:val="both"/>
        <w:rPr>
          <w:rFonts w:ascii="Times New Roman" w:hAnsi="Times New Roman"/>
          <w:b/>
          <w:sz w:val="24"/>
        </w:rPr>
      </w:pPr>
    </w:p>
    <w:p w:rsidR="005209EC" w:rsidP="005209EC" w:rsidRDefault="005209EC">
      <w:pPr>
        <w:jc w:val="both"/>
        <w:rPr>
          <w:rFonts w:ascii="Times New Roman" w:hAnsi="Times New Roman"/>
          <w:sz w:val="24"/>
          <w:szCs w:val="24"/>
          <w:lang w:val="pl-PL"/>
        </w:rPr>
      </w:pPr>
      <w:r>
        <w:rPr>
          <w:rFonts w:ascii="Times New Roman" w:hAnsi="Times New Roman"/>
          <w:sz w:val="24"/>
          <w:szCs w:val="24"/>
          <w:lang w:val="pl-PL"/>
        </w:rPr>
        <w:t>Nadležni trgovački sud TRGOVAČKI SUD U ZAGREBU</w:t>
      </w:r>
    </w:p>
    <w:p w:rsidR="005209EC" w:rsidP="005209EC" w:rsidRDefault="005209EC">
      <w:pPr>
        <w:jc w:val="both"/>
        <w:rPr>
          <w:rFonts w:ascii="Times New Roman" w:hAnsi="Times New Roman"/>
          <w:sz w:val="24"/>
          <w:szCs w:val="24"/>
          <w:lang w:val="pl-PL"/>
        </w:rPr>
      </w:pPr>
      <w:r>
        <w:rPr>
          <w:rFonts w:ascii="Times New Roman" w:hAnsi="Times New Roman"/>
          <w:sz w:val="24"/>
          <w:szCs w:val="24"/>
          <w:lang w:val="pl-PL"/>
        </w:rPr>
        <w:t>Poslovni broj spisa:  St-3201/18</w:t>
      </w:r>
    </w:p>
    <w:p w:rsidR="005209EC" w:rsidP="005209EC" w:rsidRDefault="005209EC">
      <w:pPr>
        <w:jc w:val="both"/>
        <w:rPr>
          <w:rFonts w:ascii="Times New Roman" w:hAnsi="Times New Roman"/>
          <w:sz w:val="24"/>
          <w:szCs w:val="24"/>
          <w:lang w:val="pl-PL"/>
        </w:rPr>
      </w:pPr>
      <w:r>
        <w:rPr>
          <w:rFonts w:ascii="Times New Roman" w:hAnsi="Times New Roman"/>
          <w:sz w:val="24"/>
          <w:szCs w:val="24"/>
          <w:lang w:val="pl-PL"/>
        </w:rPr>
        <w:t>Dužnik (ime i prezime / tvrtka ili naziv, OIB, adresa / sjedište) STEČAJNA MASA IZA NOBILEON D.O.O. U STEČAJU</w:t>
      </w:r>
    </w:p>
    <w:p w:rsidR="005209EC" w:rsidP="005209EC" w:rsidRDefault="005209EC">
      <w:pPr>
        <w:jc w:val="both"/>
        <w:rPr>
          <w:rFonts w:ascii="Times New Roman" w:hAnsi="Times New Roman"/>
          <w:sz w:val="24"/>
          <w:szCs w:val="24"/>
          <w:lang w:val="pl-PL"/>
        </w:rPr>
      </w:pPr>
    </w:p>
    <w:p w:rsidR="005209EC" w:rsidP="005209EC" w:rsidRDefault="005209EC">
      <w:pPr>
        <w:pStyle w:val="Bezproreda"/>
        <w:jc w:val="both"/>
        <w:rPr>
          <w:rFonts w:ascii="Times New Roman" w:hAnsi="Times New Roman"/>
          <w:b/>
          <w:sz w:val="24"/>
          <w:szCs w:val="24"/>
        </w:rPr>
      </w:pPr>
    </w:p>
    <w:p w:rsidR="005209EC" w:rsidP="005209EC" w:rsidRDefault="005209EC">
      <w:pPr>
        <w:pStyle w:val="Bezproreda"/>
        <w:jc w:val="both"/>
        <w:rPr>
          <w:rFonts w:ascii="Times New Roman" w:hAnsi="Times New Roman"/>
          <w:sz w:val="24"/>
          <w:szCs w:val="24"/>
        </w:rPr>
      </w:pPr>
      <w:r>
        <w:rPr>
          <w:rFonts w:ascii="Times New Roman" w:hAnsi="Times New Roman"/>
          <w:sz w:val="24"/>
          <w:szCs w:val="24"/>
        </w:rPr>
        <w:t>I. STANJE STEČAJNE MASE NAKON ZAVRŠNOG ROČIŠTA, ODNOSNO ZAKLJUČENJA STEČAJNOGA POSTUPKA</w:t>
      </w:r>
    </w:p>
    <w:p w:rsidR="005209EC" w:rsidP="005209EC" w:rsidRDefault="005209EC">
      <w:pPr>
        <w:pStyle w:val="Bezproreda"/>
        <w:jc w:val="both"/>
        <w:rPr>
          <w:rFonts w:ascii="Times New Roman" w:hAnsi="Times New Roman"/>
          <w:sz w:val="24"/>
          <w:szCs w:val="24"/>
        </w:rPr>
      </w:pPr>
      <w:r>
        <w:rPr>
          <w:rFonts w:ascii="Times New Roman" w:hAnsi="Times New Roman"/>
          <w:sz w:val="24"/>
          <w:szCs w:val="24"/>
        </w:rPr>
        <w:t>Navesti koje su pretpostavke iz članka 289. Stečajnog zakona ispunjene, o kojoj se stečajnoj masi radi i kolika je njena vrijednost.</w:t>
      </w:r>
    </w:p>
    <w:p w:rsidR="005209EC" w:rsidP="005209EC" w:rsidRDefault="005209EC">
      <w:pPr>
        <w:jc w:val="both"/>
        <w:rPr>
          <w:rFonts w:ascii="Arial" w:hAnsi="Arial" w:cs="Arial"/>
        </w:rPr>
      </w:pPr>
    </w:p>
    <w:p w:rsidR="005209EC" w:rsidP="005209EC" w:rsidRDefault="005209EC">
      <w:pPr>
        <w:jc w:val="both"/>
        <w:rPr>
          <w:rFonts w:ascii="Arial" w:hAnsi="Arial" w:cs="Arial"/>
        </w:rPr>
      </w:pPr>
      <w:r>
        <w:rPr>
          <w:rFonts w:ascii="Arial" w:hAnsi="Arial" w:cs="Arial"/>
        </w:rPr>
        <w:t xml:space="preserve">Rješenjem Trgovačkog suda u Zagrebu od 23. travnja 2018 pod brojem St-7789/2015 istovremeno je otvoren i zaključen stečajni postupak nad dužnikom Nobileon d.o.o. u stečaju iz Zagreba, Banjavčićeva 22, OIB:58783786415. Po prijedlogu zaintresirane osobe Nigela Van der Linde sud je obaviješten da je stečajni dužnik u trenutku otvaranja stečajnog postupka imao nekretnine na području Općinskog suda u Puli, zemljišnoknjižni odjel Pazin. Naslovni Trgovački sud je donio Rješenje o upisu Stečajne mase iza Nobileon d.o.o. u stečaju u sudski registar Trgovačkog suda u Zagrebu kao i imenovanje stečajnog upravitelja u osobi Dujmović Mirjane iz Zagreba, Božidara Magovca 48. OIB: 30711927799. Na prijedlog stečajne upraviteljice za nastavak stečajnog postupka radi naknadne imovine  Trgovački sud u Zagrebu je 04. prosinca 2018. donio Rješenje broj. St- 7789/2015  kojim je otvoren stečajni postupak nad  Stečajnom masom iza Noibileon d.o.o. u stečaju iz Zagreba, Božidara Magovca 48., OIB: 24830312648. </w:t>
      </w:r>
    </w:p>
    <w:p w:rsidR="00643936" w:rsidP="00643936" w:rsidRDefault="00643936">
      <w:pPr>
        <w:pStyle w:val="Bezproreda"/>
        <w:jc w:val="both"/>
        <w:rPr>
          <w:rFonts w:ascii="Arial" w:hAnsi="Arial" w:cs="Arial"/>
        </w:rPr>
      </w:pPr>
      <w:r>
        <w:rPr>
          <w:rFonts w:ascii="Arial" w:hAnsi="Arial" w:cs="Arial"/>
        </w:rPr>
        <w:t xml:space="preserve">U zakonom određenom roku stečajna upraviteljica je zaprimila dvije prijave potraživanja  i to </w:t>
      </w:r>
    </w:p>
    <w:p w:rsidR="00643936" w:rsidP="00643936" w:rsidRDefault="00643936">
      <w:pPr>
        <w:pStyle w:val="Bezproreda"/>
        <w:numPr>
          <w:ilvl w:val="0"/>
          <w:numId w:val="1"/>
        </w:numPr>
        <w:jc w:val="both"/>
        <w:rPr>
          <w:rFonts w:ascii="Arial" w:hAnsi="Arial" w:cs="Arial"/>
        </w:rPr>
      </w:pPr>
      <w:r>
        <w:rPr>
          <w:rFonts w:ascii="Arial" w:hAnsi="Arial" w:cs="Arial"/>
        </w:rPr>
        <w:t xml:space="preserve">Republika Hrvatska, Ministarstvo financija, Porezna uprava Zagreb ,OIB:18683136487, iz  Zagreba, Avenija Dubrovnik 32  sa iznosom potraživanja od 6.821,23 km i </w:t>
      </w:r>
    </w:p>
    <w:p w:rsidR="00643936" w:rsidP="005209EC" w:rsidRDefault="00643936">
      <w:pPr>
        <w:pStyle w:val="Bezproreda"/>
        <w:numPr>
          <w:ilvl w:val="0"/>
          <w:numId w:val="1"/>
        </w:numPr>
        <w:jc w:val="both"/>
        <w:rPr>
          <w:rFonts w:ascii="Arial" w:hAnsi="Arial" w:cs="Arial"/>
        </w:rPr>
      </w:pPr>
      <w:r>
        <w:rPr>
          <w:rFonts w:ascii="Arial" w:hAnsi="Arial" w:cs="Arial"/>
        </w:rPr>
        <w:t>Nobileon Real Estate B.V, OIB:42332706178 iz Kraljevine Nizozemske, Kronenburgsingel 525  sa iznosom potraživanja od 6.592174,29 kn.</w:t>
      </w:r>
    </w:p>
    <w:p w:rsidRPr="00643936" w:rsidR="00643936" w:rsidP="005209EC" w:rsidRDefault="00643936">
      <w:pPr>
        <w:pStyle w:val="Bezproreda"/>
        <w:numPr>
          <w:ilvl w:val="0"/>
          <w:numId w:val="1"/>
        </w:numPr>
        <w:jc w:val="both"/>
        <w:rPr>
          <w:rFonts w:ascii="Arial" w:hAnsi="Arial" w:cs="Arial"/>
        </w:rPr>
      </w:pPr>
    </w:p>
    <w:p w:rsidR="005209EC" w:rsidP="005209EC" w:rsidRDefault="005209EC">
      <w:pPr>
        <w:jc w:val="both"/>
        <w:rPr>
          <w:rFonts w:ascii="Arial" w:hAnsi="Arial" w:cs="Arial"/>
        </w:rPr>
      </w:pPr>
      <w:r>
        <w:rPr>
          <w:rFonts w:ascii="Arial" w:hAnsi="Arial" w:cs="Arial"/>
        </w:rPr>
        <w:t xml:space="preserve"> Nakon ispitnog i izvještajnog ročišta stečajni vjerovnik  Novi Nobileon d.o.o. je preuzeo potraživanje  Republika Hrvatska, Ministarstvo financija, Porezna uprava Zagreb tako da u nastavku stečajnog postupka imamo samo jednog stečajnog vjerovnika.</w:t>
      </w:r>
    </w:p>
    <w:p w:rsidR="005209EC" w:rsidP="005209EC" w:rsidRDefault="005209EC">
      <w:pPr>
        <w:jc w:val="both"/>
        <w:rPr>
          <w:rFonts w:ascii="Arial" w:hAnsi="Arial" w:cs="Arial"/>
        </w:rPr>
      </w:pPr>
      <w:r>
        <w:rPr>
          <w:rFonts w:ascii="Arial" w:hAnsi="Arial" w:cs="Arial"/>
        </w:rPr>
        <w:t xml:space="preserve">Obzirom da se na ispitnom i izvještajnom ročištu nije donijela odluka o načinu prodaje stečajne mase odnosno nekretnina u vlasništvu stečajnog dužnika, to je stečajna upraviteljica </w:t>
      </w:r>
      <w:r w:rsidR="00643936">
        <w:rPr>
          <w:rFonts w:ascii="Arial" w:hAnsi="Arial" w:cs="Arial"/>
        </w:rPr>
        <w:t>dana 14.05.2019. uputila Naslovnom sudu podnesak kojim je tražila zakazivanje skupštine vjerovnika. Temeljem istog prijedloga sud je donio zaključak kojim je za dan 18.07.2019. zakazao ročište za skupštinu vjerovnika. Na održanoj skupštini kao jedini član skupštine stečajni vjerovnik Novi Nobileon do.o.o. je donio odkuku o prodaji predmetnih nekretnina neposrednom pogodbom  tako da stečajna upraviteljica sklopi u ime stečajnog dužnika kupoprodajni ugovor sa zainteresiranim kupcem za iznos od .2.220.000,00 kn</w:t>
      </w:r>
      <w:r w:rsidR="00BF7442">
        <w:rPr>
          <w:rFonts w:ascii="Arial" w:hAnsi="Arial" w:cs="Arial"/>
        </w:rPr>
        <w:t xml:space="preserve"> bez javnog oglašavanja.</w:t>
      </w:r>
    </w:p>
    <w:p w:rsidR="005209EC" w:rsidP="005209EC" w:rsidRDefault="005209EC">
      <w:pPr>
        <w:jc w:val="both"/>
        <w:rPr>
          <w:rFonts w:ascii="Arial" w:hAnsi="Arial" w:cs="Arial"/>
        </w:rPr>
      </w:pPr>
    </w:p>
    <w:p w:rsidR="005209EC" w:rsidP="005209EC" w:rsidRDefault="005209EC">
      <w:pPr>
        <w:jc w:val="both"/>
        <w:rPr>
          <w:rFonts w:ascii="Arial" w:hAnsi="Arial" w:cs="Arial"/>
        </w:rPr>
      </w:pPr>
    </w:p>
    <w:p w:rsidR="005209EC" w:rsidP="005209EC" w:rsidRDefault="005209EC">
      <w:pPr>
        <w:pStyle w:val="Bezproreda"/>
        <w:jc w:val="both"/>
        <w:rPr>
          <w:rFonts w:ascii="Arial" w:hAnsi="Arial" w:cs="Arial"/>
        </w:rPr>
      </w:pPr>
      <w:r>
        <w:rPr>
          <w:rFonts w:ascii="Arial" w:hAnsi="Arial" w:cs="Arial"/>
        </w:rPr>
        <w:t>Stečajni dužnik Stečajna masa iza Nobileon d.o.o. u stečaju ima u  stečajnoj masi samo</w:t>
      </w:r>
    </w:p>
    <w:p w:rsidR="005209EC" w:rsidP="005209EC" w:rsidRDefault="005209EC">
      <w:pPr>
        <w:jc w:val="both"/>
        <w:rPr>
          <w:rFonts w:ascii="Arial" w:hAnsi="Arial" w:cs="Arial"/>
          <w:b/>
        </w:rPr>
      </w:pPr>
      <w:r>
        <w:rPr>
          <w:rFonts w:ascii="Arial" w:hAnsi="Arial" w:cs="Arial"/>
        </w:rPr>
        <w:t xml:space="preserve">nekretnine   </w:t>
      </w:r>
      <w:r>
        <w:rPr>
          <w:rFonts w:ascii="Arial" w:hAnsi="Arial" w:cs="Arial"/>
          <w:b/>
        </w:rPr>
        <w:t>upisane u zemljišnim knjigama Općinskog suda u  Puli, zemljišnoknjižni odjel Pazin i označene su kao:</w:t>
      </w:r>
    </w:p>
    <w:p w:rsidR="005209EC" w:rsidP="005209EC" w:rsidRDefault="005209EC">
      <w:pPr>
        <w:pStyle w:val="Odlomakpopisa"/>
        <w:numPr>
          <w:ilvl w:val="0"/>
          <w:numId w:val="2"/>
        </w:numPr>
        <w:spacing w:after="160" w:line="256" w:lineRule="auto"/>
        <w:rPr>
          <w:rFonts w:ascii="Arial" w:hAnsi="Arial" w:cs="Arial"/>
          <w:b/>
        </w:rPr>
      </w:pPr>
      <w:r>
        <w:rPr>
          <w:rFonts w:ascii="Arial" w:hAnsi="Arial" w:cs="Arial"/>
          <w:b/>
        </w:rPr>
        <w:t>kč.br.2352/2 oranica površine 1042 m2  upisana u zk.ul.br. 1413 k.o.Kringa</w:t>
      </w:r>
    </w:p>
    <w:p w:rsidR="005209EC" w:rsidP="005209EC" w:rsidRDefault="005209EC">
      <w:pPr>
        <w:pStyle w:val="Odlomakpopisa"/>
        <w:numPr>
          <w:ilvl w:val="0"/>
          <w:numId w:val="2"/>
        </w:numPr>
        <w:spacing w:after="160" w:line="256" w:lineRule="auto"/>
        <w:rPr>
          <w:rFonts w:ascii="Arial" w:hAnsi="Arial" w:cs="Arial"/>
          <w:b/>
        </w:rPr>
      </w:pPr>
      <w:r>
        <w:rPr>
          <w:rFonts w:ascii="Arial" w:hAnsi="Arial" w:cs="Arial"/>
          <w:b/>
        </w:rPr>
        <w:t>kč.br.2353/1 oranica površine 970 m2 ,</w:t>
      </w:r>
    </w:p>
    <w:p w:rsidR="005209EC" w:rsidP="005209EC" w:rsidRDefault="005209EC">
      <w:pPr>
        <w:pStyle w:val="Odlomakpopisa"/>
        <w:numPr>
          <w:ilvl w:val="0"/>
          <w:numId w:val="2"/>
        </w:numPr>
        <w:spacing w:after="160" w:line="256" w:lineRule="auto"/>
        <w:rPr>
          <w:rFonts w:ascii="Arial" w:hAnsi="Arial" w:cs="Arial"/>
          <w:b/>
        </w:rPr>
      </w:pPr>
      <w:r>
        <w:rPr>
          <w:rFonts w:ascii="Arial" w:hAnsi="Arial" w:cs="Arial"/>
          <w:b/>
        </w:rPr>
        <w:t xml:space="preserve">kč.br. 2608/1 oranica površine 788 m2, </w:t>
      </w:r>
    </w:p>
    <w:p w:rsidR="005209EC" w:rsidP="005209EC" w:rsidRDefault="005209EC">
      <w:pPr>
        <w:pStyle w:val="Odlomakpopisa"/>
        <w:numPr>
          <w:ilvl w:val="0"/>
          <w:numId w:val="2"/>
        </w:numPr>
        <w:spacing w:after="160" w:line="256" w:lineRule="auto"/>
        <w:rPr>
          <w:rFonts w:ascii="Arial" w:hAnsi="Arial" w:cs="Arial"/>
          <w:b/>
        </w:rPr>
      </w:pPr>
      <w:r>
        <w:rPr>
          <w:rFonts w:ascii="Arial" w:hAnsi="Arial" w:cs="Arial"/>
          <w:b/>
        </w:rPr>
        <w:t>kč.br. 2608/4 oranica površine 835 m2,</w:t>
      </w:r>
    </w:p>
    <w:p w:rsidR="005209EC" w:rsidP="005209EC" w:rsidRDefault="005209EC">
      <w:pPr>
        <w:pStyle w:val="Odlomakpopisa"/>
        <w:numPr>
          <w:ilvl w:val="0"/>
          <w:numId w:val="2"/>
        </w:numPr>
        <w:spacing w:after="160" w:line="256" w:lineRule="auto"/>
        <w:rPr>
          <w:rFonts w:ascii="Arial" w:hAnsi="Arial" w:cs="Arial"/>
          <w:b/>
        </w:rPr>
      </w:pPr>
      <w:r>
        <w:rPr>
          <w:rFonts w:ascii="Arial" w:hAnsi="Arial" w:cs="Arial"/>
          <w:b/>
        </w:rPr>
        <w:t>kč.br. 2645/1 oranica površine1039 m2,</w:t>
      </w:r>
    </w:p>
    <w:p w:rsidR="005209EC" w:rsidP="005209EC" w:rsidRDefault="005209EC">
      <w:pPr>
        <w:pStyle w:val="Odlomakpopisa"/>
        <w:numPr>
          <w:ilvl w:val="0"/>
          <w:numId w:val="2"/>
        </w:numPr>
        <w:spacing w:after="160" w:line="256" w:lineRule="auto"/>
        <w:rPr>
          <w:rFonts w:ascii="Arial" w:hAnsi="Arial" w:cs="Arial"/>
          <w:b/>
        </w:rPr>
      </w:pPr>
      <w:r>
        <w:rPr>
          <w:rFonts w:ascii="Arial" w:hAnsi="Arial" w:cs="Arial"/>
          <w:b/>
        </w:rPr>
        <w:t>kč.br. 2645/2 oranica površine 1039 m2,</w:t>
      </w:r>
    </w:p>
    <w:p w:rsidR="005209EC" w:rsidP="005209EC" w:rsidRDefault="005209EC">
      <w:pPr>
        <w:pStyle w:val="Odlomakpopisa"/>
        <w:numPr>
          <w:ilvl w:val="0"/>
          <w:numId w:val="2"/>
        </w:numPr>
        <w:spacing w:after="160" w:line="256" w:lineRule="auto"/>
        <w:rPr>
          <w:rFonts w:ascii="Arial" w:hAnsi="Arial" w:cs="Arial"/>
          <w:b/>
        </w:rPr>
      </w:pPr>
      <w:r>
        <w:rPr>
          <w:rFonts w:ascii="Arial" w:hAnsi="Arial" w:cs="Arial"/>
          <w:b/>
        </w:rPr>
        <w:t>kč.br. 2645/3 0ranica površine 21 m2  sveukupno 4 692 m2  upisane u zk.ul.br. 1372 k.o.Kringa.</w:t>
      </w:r>
    </w:p>
    <w:p w:rsidR="005209EC" w:rsidP="005209EC" w:rsidRDefault="005209EC">
      <w:pPr>
        <w:pStyle w:val="Odlomakpopisa"/>
        <w:numPr>
          <w:ilvl w:val="0"/>
          <w:numId w:val="2"/>
        </w:numPr>
        <w:spacing w:after="160" w:line="256" w:lineRule="auto"/>
        <w:rPr>
          <w:rFonts w:ascii="Arial" w:hAnsi="Arial" w:cs="Arial"/>
          <w:b/>
        </w:rPr>
      </w:pPr>
      <w:r>
        <w:rPr>
          <w:rFonts w:ascii="Arial" w:hAnsi="Arial" w:cs="Arial"/>
          <w:b/>
        </w:rPr>
        <w:t>kč.br.2352/1 oranica površine 1038 m2 upisana u zk.ul. br. 1412 k.o. Kringa.</w:t>
      </w:r>
    </w:p>
    <w:p w:rsidR="005209EC" w:rsidP="005209EC" w:rsidRDefault="005209EC">
      <w:pPr>
        <w:jc w:val="both"/>
        <w:rPr>
          <w:rFonts w:ascii="Arial" w:hAnsi="Arial" w:cs="Arial"/>
          <w:b/>
        </w:rPr>
      </w:pPr>
      <w:r>
        <w:rPr>
          <w:rFonts w:ascii="Arial" w:hAnsi="Arial" w:cs="Arial"/>
          <w:b/>
        </w:rPr>
        <w:t>Utvrđena vrijednost nekretnina koje čine stečajnu masu je  3.377,801,76. kn.</w:t>
      </w:r>
    </w:p>
    <w:p w:rsidR="005209EC" w:rsidP="005209EC" w:rsidRDefault="005209EC">
      <w:pPr>
        <w:pStyle w:val="Bezproreda"/>
        <w:jc w:val="both"/>
        <w:rPr>
          <w:rFonts w:ascii="Arial" w:hAnsi="Arial" w:cs="Arial"/>
        </w:rPr>
      </w:pPr>
    </w:p>
    <w:p w:rsidR="005209EC" w:rsidP="005209EC" w:rsidRDefault="005209EC">
      <w:pPr>
        <w:pStyle w:val="Bezproreda"/>
        <w:jc w:val="both"/>
        <w:rPr>
          <w:rFonts w:ascii="Times New Roman" w:hAnsi="Times New Roman"/>
          <w:sz w:val="24"/>
          <w:szCs w:val="24"/>
        </w:rPr>
      </w:pPr>
      <w:r>
        <w:rPr>
          <w:rFonts w:ascii="Times New Roman" w:hAnsi="Times New Roman"/>
          <w:sz w:val="24"/>
          <w:szCs w:val="24"/>
        </w:rPr>
        <w:t xml:space="preserve">II. POSTUPANJE SA STEČAJNOM MASOM </w:t>
      </w:r>
    </w:p>
    <w:p w:rsidR="005209EC" w:rsidP="005209EC" w:rsidRDefault="005209EC">
      <w:pPr>
        <w:pStyle w:val="Bezproreda"/>
        <w:jc w:val="both"/>
        <w:rPr>
          <w:rFonts w:ascii="Times New Roman" w:hAnsi="Times New Roman"/>
          <w:sz w:val="24"/>
          <w:szCs w:val="24"/>
        </w:rPr>
      </w:pPr>
      <w:r>
        <w:rPr>
          <w:rFonts w:ascii="Times New Roman" w:hAnsi="Times New Roman"/>
          <w:sz w:val="24"/>
          <w:szCs w:val="24"/>
        </w:rPr>
        <w:t>Navesti na koji način će se postupiti s preostalom stečajnom masom.</w:t>
      </w:r>
    </w:p>
    <w:p w:rsidR="005209EC" w:rsidP="005209EC" w:rsidRDefault="005209EC">
      <w:pPr>
        <w:pStyle w:val="Bezproreda"/>
        <w:jc w:val="both"/>
        <w:rPr>
          <w:rFonts w:ascii="Arial" w:hAnsi="Arial" w:cs="Arial"/>
          <w:sz w:val="24"/>
          <w:szCs w:val="24"/>
        </w:rPr>
      </w:pPr>
    </w:p>
    <w:p w:rsidR="00BF7442" w:rsidP="00643936" w:rsidRDefault="005209EC">
      <w:pPr>
        <w:jc w:val="both"/>
        <w:rPr>
          <w:rFonts w:ascii="Arial" w:hAnsi="Arial" w:cs="Arial"/>
          <w:sz w:val="24"/>
          <w:szCs w:val="24"/>
        </w:rPr>
      </w:pPr>
      <w:r>
        <w:rPr>
          <w:rFonts w:ascii="Arial" w:hAnsi="Arial" w:cs="Arial"/>
          <w:sz w:val="24"/>
          <w:szCs w:val="24"/>
        </w:rPr>
        <w:t xml:space="preserve">Stečajna upraviteljica </w:t>
      </w:r>
      <w:r w:rsidR="00BF7442">
        <w:rPr>
          <w:rFonts w:ascii="Arial" w:hAnsi="Arial" w:cs="Arial"/>
          <w:sz w:val="24"/>
          <w:szCs w:val="24"/>
        </w:rPr>
        <w:t xml:space="preserve">je </w:t>
      </w:r>
      <w:r w:rsidR="005A5373">
        <w:rPr>
          <w:rFonts w:ascii="Arial" w:hAnsi="Arial" w:cs="Arial"/>
          <w:sz w:val="24"/>
          <w:szCs w:val="24"/>
        </w:rPr>
        <w:t xml:space="preserve">dana 03.10.2019. zaprimila </w:t>
      </w:r>
      <w:r w:rsidR="00BF7442">
        <w:rPr>
          <w:rFonts w:ascii="Arial" w:hAnsi="Arial" w:cs="Arial"/>
          <w:sz w:val="24"/>
          <w:szCs w:val="24"/>
        </w:rPr>
        <w:t xml:space="preserve">Ponudu za kupnju nekretnina od strane ponuditelja Novi Nobileon d.o.o. iz Zagreba, Ignjata Đorđića 6. OIB: </w:t>
      </w:r>
      <w:r w:rsidR="005A5373">
        <w:rPr>
          <w:rFonts w:ascii="Arial" w:hAnsi="Arial" w:cs="Arial"/>
          <w:sz w:val="24"/>
          <w:szCs w:val="24"/>
        </w:rPr>
        <w:t>87961462240 koja je bila u skladu s Odlukom skupštine vjerovnika od 18.07.2019. te je istu prihvatila. Slijedom navedenog stečajna upraviteljica je dana 04.11.2019. sklopila sa ponuditeljem Ugovor o kupoprodaji nekretnina u vlasništvu stečajnog dužnika. Obzirom da je unovčena cjelokupna stečajna masa to će stečajna upraviteljica uputiti Naslovnom sudu i Prijedlog za određivanje nagrade i naknade troškova te završni račun.</w:t>
      </w:r>
    </w:p>
    <w:p w:rsidR="00BF7442" w:rsidP="00643936" w:rsidRDefault="00BF7442">
      <w:pPr>
        <w:jc w:val="both"/>
        <w:rPr>
          <w:rFonts w:ascii="Arial" w:hAnsi="Arial" w:cs="Arial"/>
          <w:sz w:val="24"/>
          <w:szCs w:val="24"/>
        </w:rPr>
      </w:pPr>
    </w:p>
    <w:p w:rsidR="00643936" w:rsidP="00643936" w:rsidRDefault="008335CC">
      <w:pPr>
        <w:jc w:val="both"/>
        <w:rPr>
          <w:rFonts w:ascii="Arial" w:hAnsi="Arial" w:cs="Arial"/>
        </w:rPr>
      </w:pPr>
      <w:r>
        <w:rPr>
          <w:rFonts w:ascii="Arial" w:hAnsi="Arial" w:cs="Arial"/>
        </w:rPr>
        <w:t>Prilog:  Ponuda i Ugovor o kupoprodaji nekretnina</w:t>
      </w:r>
    </w:p>
    <w:p w:rsidR="005209EC" w:rsidP="005209EC" w:rsidRDefault="005209EC">
      <w:pPr>
        <w:pStyle w:val="Bezproreda"/>
        <w:jc w:val="both"/>
        <w:rPr>
          <w:rFonts w:ascii="Times New Roman" w:hAnsi="Times New Roman"/>
          <w:sz w:val="24"/>
          <w:szCs w:val="24"/>
        </w:rPr>
      </w:pPr>
    </w:p>
    <w:p w:rsidR="005209EC" w:rsidP="005209EC" w:rsidRDefault="005209EC">
      <w:pPr>
        <w:pStyle w:val="Bezproreda"/>
        <w:jc w:val="both"/>
        <w:rPr>
          <w:rFonts w:ascii="Arial" w:hAnsi="Arial" w:cs="Arial"/>
          <w:sz w:val="24"/>
          <w:szCs w:val="24"/>
        </w:rPr>
      </w:pPr>
      <w:r>
        <w:rPr>
          <w:rFonts w:ascii="Arial" w:hAnsi="Arial" w:cs="Arial"/>
          <w:sz w:val="24"/>
          <w:szCs w:val="24"/>
        </w:rPr>
        <w:t>Mjesto i datum</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Stečajni upravitelj</w:t>
      </w:r>
    </w:p>
    <w:p w:rsidR="005209EC" w:rsidP="005209EC" w:rsidRDefault="005209EC">
      <w:pPr>
        <w:pStyle w:val="Bezproreda"/>
        <w:jc w:val="both"/>
        <w:rPr>
          <w:rFonts w:ascii="Arial" w:hAnsi="Arial" w:cs="Arial"/>
          <w:sz w:val="24"/>
          <w:szCs w:val="24"/>
        </w:rPr>
      </w:pPr>
      <w:r>
        <w:rPr>
          <w:rFonts w:ascii="Arial" w:hAnsi="Arial" w:cs="Arial"/>
          <w:sz w:val="24"/>
          <w:szCs w:val="24"/>
        </w:rPr>
        <w:t>Zagre, 0</w:t>
      </w:r>
      <w:r w:rsidR="005A5373">
        <w:rPr>
          <w:rFonts w:ascii="Arial" w:hAnsi="Arial" w:cs="Arial"/>
          <w:sz w:val="24"/>
          <w:szCs w:val="24"/>
        </w:rPr>
        <w:t>5.11</w:t>
      </w:r>
      <w:r>
        <w:rPr>
          <w:rFonts w:ascii="Arial" w:hAnsi="Arial" w:cs="Arial"/>
          <w:sz w:val="24"/>
          <w:szCs w:val="24"/>
        </w:rPr>
        <w:t>.2019.</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5A5373">
        <w:rPr>
          <w:rFonts w:ascii="Arial" w:hAnsi="Arial" w:cs="Arial"/>
          <w:sz w:val="24"/>
          <w:szCs w:val="24"/>
        </w:rPr>
        <w:t xml:space="preserve">   </w:t>
      </w:r>
      <w:r>
        <w:rPr>
          <w:rFonts w:ascii="Arial" w:hAnsi="Arial" w:cs="Arial"/>
          <w:sz w:val="24"/>
          <w:szCs w:val="24"/>
        </w:rPr>
        <w:t xml:space="preserve"> Mirjana  Dujmović dipl. iur</w:t>
      </w:r>
    </w:p>
    <w:p w:rsidR="005209EC" w:rsidP="005209EC" w:rsidRDefault="005209EC">
      <w:pPr>
        <w:pStyle w:val="Bezproreda"/>
        <w:jc w:val="both"/>
        <w:rPr>
          <w:rFonts w:ascii="Arial" w:hAnsi="Arial" w:cs="Arial"/>
          <w:sz w:val="24"/>
          <w:szCs w:val="24"/>
        </w:rPr>
      </w:pPr>
    </w:p>
    <w:p w:rsidR="005209EC" w:rsidP="005209EC" w:rsidRDefault="005209EC">
      <w:pPr>
        <w:jc w:val="both"/>
        <w:rPr>
          <w:rFonts w:ascii="Arial" w:hAnsi="Arial" w:cs="Arial"/>
        </w:rPr>
      </w:pPr>
    </w:p>
    <w:p w:rsidR="005209EC" w:rsidP="005209EC" w:rsidRDefault="005209EC">
      <w:pPr>
        <w:jc w:val="both"/>
      </w:pPr>
    </w:p>
    <w:p w:rsidR="005209EC" w:rsidP="005209EC" w:rsidRDefault="005209EC">
      <w:pPr>
        <w:jc w:val="both"/>
      </w:pPr>
    </w:p>
    <w:p w:rsidR="009B6FB9" w:rsidRDefault="009B6FB9"/>
    <w:sectPr w:rsidR="009B6FB9">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C54E75"/>
    <w:multiLevelType w:val="hybridMultilevel"/>
    <w:tmpl w:val="A27AADB2"/>
    <w:lvl w:ilvl="0" w:tplc="574466B4">
      <w:start w:val="3"/>
      <w:numFmt w:val="bullet"/>
      <w:lvlText w:val="-"/>
      <w:lvlJc w:val="left"/>
      <w:pPr>
        <w:ind w:left="36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
    <w:nsid w:val="7DD47B30"/>
    <w:multiLevelType w:val="hybridMultilevel"/>
    <w:tmpl w:val="40100FA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9EC"/>
    <w:rsid w:val="002D1BF0"/>
    <w:rsid w:val="005209EC"/>
    <w:rsid w:val="005A5373"/>
    <w:rsid w:val="00643936"/>
    <w:rsid w:val="006E70E0"/>
    <w:rsid w:val="008335CC"/>
    <w:rsid w:val="009B6FB9"/>
    <w:rsid w:val="00A17EAD"/>
    <w:rsid w:val="00BF744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209EC"/>
    <w:pPr>
      <w:spacing w:after="80" w:line="240" w:lineRule="auto"/>
    </w:pPr>
    <w:rPr>
      <w:rFonts w:ascii="Calibri" w:hAnsi="Calibri"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99"/>
    <w:qFormat/>
    <w:rsid w:val="005209EC"/>
    <w:pPr>
      <w:spacing w:after="80" w:line="240" w:lineRule="auto"/>
    </w:pPr>
    <w:rPr>
      <w:rFonts w:ascii="Calibri" w:hAnsi="Calibri" w:eastAsia="Times New Roman" w:cs="Times New Roman"/>
    </w:rPr>
  </w:style>
  <w:style w:type="paragraph" w:styleId="Odlomakpopisa">
    <w:name w:val="List Paragraph"/>
    <w:basedOn w:val="Normal"/>
    <w:uiPriority w:val="34"/>
    <w:qFormat/>
    <w:rsid w:val="005209EC"/>
    <w:pPr>
      <w:spacing w:after="0"/>
      <w:ind w:left="720"/>
      <w:contextualSpacing/>
      <w:jc w:val="both"/>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6E70E0"/>
    <w:rPr>
      <w:color w:val="808080"/>
      <w:bdr w:val="none" w:color="auto" w:sz="0" w:space="0"/>
      <w:shd w:val="clear" w:color="auto" w:fill="auto"/>
    </w:rPr>
  </w:style>
  <w:style w:type="character" w:styleId="eSPISCCParagraphDefaultFont" w:customStyle="true">
    <w:name w:val="eSPIS_CC_Paragraph Default Font"/>
    <w:basedOn w:val="Zadanifontodlomka"/>
    <w:rsid w:val="006E70E0"/>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6E70E0"/>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6E70E0"/>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6E70E0"/>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09EC"/>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5209EC"/>
    <w:pPr>
      <w:spacing w:after="80" w:line="240" w:lineRule="auto"/>
    </w:pPr>
    <w:rPr>
      <w:rFonts w:ascii="Calibri" w:cs="Times New Roman" w:eastAsia="Times New Roman" w:hAnsi="Calibri"/>
    </w:rPr>
  </w:style>
  <w:style w:styleId="Odlomakpopisa" w:type="paragraph">
    <w:name w:val="List Paragraph"/>
    <w:basedOn w:val="Normal"/>
    <w:uiPriority w:val="34"/>
    <w:qFormat/>
    <w:rsid w:val="005209EC"/>
    <w:pPr>
      <w:spacing w:after="0"/>
      <w:ind w:left="720"/>
      <w:contextualSpacing/>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6E70E0"/>
    <w:rPr>
      <w:color w:val="808080"/>
      <w:bdr w:color="auto" w:space="0" w:sz="0" w:val="none"/>
      <w:shd w:color="auto" w:fill="auto" w:val="clear"/>
    </w:rPr>
  </w:style>
  <w:style w:customStyle="1" w:styleId="eSPISCCParagraphDefaultFont" w:type="character">
    <w:name w:val="eSPIS_CC_Paragraph Default Font"/>
    <w:basedOn w:val="Zadanifontodlomka"/>
    <w:rsid w:val="006E70E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E70E0"/>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E70E0"/>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E70E0"/>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976368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632</properties:Words>
  <properties:Characters>3796</properties:Characters>
  <properties:Lines>83</properties:Lines>
  <properties:Paragraphs>31</properties:Paragraphs>
  <properties:TotalTime>40</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
    </vt:vector>
  </properties:TitlesOfParts>
  <properties:LinksUpToDate>false</properties:LinksUpToDate>
  <properties:CharactersWithSpaces>4440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2019-08-02T05:45:00Z</dcterms:created>
  <dc:creator>ante dujmovic</dc:creator>
  <dc:description/>
  <cp:keywords/>
  <cp:lastModifiedBy>Valentina Gabud</cp:lastModifiedBy>
  <dcterms:modified xmlns:xsi="http://www.w3.org/2001/XMLSchema-instance" xsi:type="dcterms:W3CDTF">2019-11-07T07:29:00Z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St-3201/2018-37 / Podnesak - Izvješće stečajnog upravitelja (Obrazac_19-.docx)</vt:lpwstr>
  </prop:property>
  <prop:property fmtid="{D5CDD505-2E9C-101B-9397-08002B2CF9AE}" pid="4" name="CC_coloring">
    <vt:bool>false</vt:bool>
  </prop:property>
  <prop:property fmtid="{D5CDD505-2E9C-101B-9397-08002B2CF9AE}" pid="5" name="BrojStranica">
    <vt:i4>2</vt:i4>
  </prop:property>
</prop:Properties>
</file>